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hd w:val="clear" w:color="auto" w:fill="ffffff"/>
        <w:ind w:right="5"/>
        <w:jc w:val="center"/>
        <w:rPr>
          <w:b w:val="1"/>
          <w:bCs w:val="1"/>
          <w:spacing w:val="-6"/>
          <w:sz w:val="22"/>
          <w:szCs w:val="22"/>
          <w:lang w:val="de-DE"/>
        </w:rPr>
      </w:pPr>
    </w:p>
    <w:p>
      <w:pPr>
        <w:pStyle w:val="Standard"/>
        <w:shd w:val="clear" w:color="auto" w:fill="ffffff"/>
        <w:ind w:right="5"/>
        <w:jc w:val="center"/>
        <w:rPr>
          <w:b w:val="1"/>
          <w:bCs w:val="1"/>
          <w:spacing w:val="-6"/>
          <w:sz w:val="22"/>
          <w:szCs w:val="22"/>
          <w:lang w:val="de-DE"/>
        </w:rPr>
      </w:pPr>
    </w:p>
    <w:p>
      <w:pPr>
        <w:pStyle w:val="Standard"/>
        <w:shd w:val="clear" w:color="auto" w:fill="ffffff"/>
        <w:ind w:right="5"/>
        <w:jc w:val="center"/>
        <w:rPr>
          <w:b w:val="1"/>
          <w:bCs w:val="1"/>
          <w:spacing w:val="-6"/>
          <w:sz w:val="22"/>
          <w:szCs w:val="22"/>
          <w:lang w:val="de-DE"/>
        </w:rPr>
      </w:pPr>
      <w:r>
        <w:rPr>
          <w:b w:val="1"/>
          <w:bCs w:val="1"/>
          <w:spacing w:val="-6"/>
          <w:sz w:val="22"/>
          <w:szCs w:val="22"/>
          <w:rtl w:val="0"/>
          <w:lang w:val="de-DE"/>
        </w:rPr>
        <w:t>Anzahlungsb</w:t>
      </w:r>
      <w:r>
        <w:rPr>
          <w:b w:val="1"/>
          <w:bCs w:val="1"/>
          <w:spacing w:val="-6"/>
          <w:sz w:val="22"/>
          <w:szCs w:val="22"/>
          <w:rtl w:val="0"/>
          <w:lang w:val="de-DE"/>
        </w:rPr>
        <w:t>ü</w:t>
      </w:r>
      <w:r>
        <w:rPr>
          <w:b w:val="1"/>
          <w:bCs w:val="1"/>
          <w:spacing w:val="-6"/>
          <w:sz w:val="22"/>
          <w:szCs w:val="22"/>
          <w:rtl w:val="0"/>
          <w:lang w:val="de-DE"/>
        </w:rPr>
        <w:t>rgschaft</w:t>
      </w:r>
    </w:p>
    <w:p>
      <w:pPr>
        <w:pStyle w:val="Standard"/>
        <w:shd w:val="clear" w:color="auto" w:fill="ffffff"/>
        <w:ind w:right="5"/>
        <w:jc w:val="center"/>
        <w:rPr>
          <w:b w:val="1"/>
          <w:bCs w:val="1"/>
          <w:spacing w:val="-6"/>
          <w:sz w:val="22"/>
          <w:szCs w:val="22"/>
          <w:lang w:val="de-DE"/>
        </w:rPr>
      </w:pPr>
    </w:p>
    <w:p>
      <w:pPr>
        <w:pStyle w:val="Standard"/>
        <w:shd w:val="clear" w:color="auto" w:fill="ffffff"/>
        <w:ind w:right="5"/>
        <w:jc w:val="center"/>
        <w:rPr>
          <w:b w:val="1"/>
          <w:bCs w:val="1"/>
          <w:spacing w:val="-6"/>
          <w:sz w:val="22"/>
          <w:szCs w:val="22"/>
          <w:lang w:val="de-DE"/>
        </w:rPr>
      </w:pPr>
    </w:p>
    <w:p>
      <w:pPr>
        <w:pStyle w:val="Standard"/>
        <w:shd w:val="clear" w:color="auto" w:fill="ffffff"/>
        <w:ind w:right="5"/>
        <w:jc w:val="center"/>
        <w:rPr>
          <w:sz w:val="22"/>
          <w:szCs w:val="22"/>
          <w:lang w:val="de-DE"/>
        </w:rPr>
      </w:pPr>
    </w:p>
    <w:p>
      <w:pPr>
        <w:pStyle w:val="Standard"/>
        <w:shd w:val="clear" w:color="auto" w:fill="ffffff"/>
        <w:tabs>
          <w:tab w:val="left" w:pos="4395"/>
          <w:tab w:val="left" w:pos="7099" w:leader="underscore"/>
        </w:tabs>
        <w:spacing w:before="298" w:line="300" w:lineRule="exact"/>
      </w:pPr>
      <w:r>
        <w:rPr>
          <w:rtl w:val="0"/>
          <w:lang w:val="en-US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ind w:left="360" w:firstLine="0"/>
        <w:jc w:val="right"/>
        <w:rPr>
          <w:b w:val="1"/>
          <w:bCs w:val="1"/>
          <w:spacing w:val="0"/>
          <w:lang w:val="de-DE"/>
        </w:rPr>
      </w:pPr>
      <w:r>
        <w:rPr>
          <w:b w:val="1"/>
          <w:bCs w:val="1"/>
          <w:spacing w:val="0"/>
          <w:rtl w:val="0"/>
          <w:lang w:val="de-DE"/>
        </w:rPr>
        <w:t xml:space="preserve"> - nachfolgend </w:t>
      </w:r>
      <w:r>
        <w:rPr>
          <w:b w:val="1"/>
          <w:bCs w:val="1"/>
          <w:spacing w:val="0"/>
          <w:rtl w:val="0"/>
          <w:lang w:val="de-DE"/>
        </w:rPr>
        <w:t>„</w:t>
      </w:r>
      <w:r>
        <w:rPr>
          <w:b w:val="1"/>
          <w:bCs w:val="1"/>
          <w:spacing w:val="0"/>
          <w:rtl w:val="0"/>
          <w:lang w:val="de-DE"/>
        </w:rPr>
        <w:t>Auftraggeber</w:t>
      </w:r>
      <w:r>
        <w:rPr>
          <w:b w:val="1"/>
          <w:bCs w:val="1"/>
          <w:spacing w:val="0"/>
          <w:rtl w:val="0"/>
          <w:lang w:val="de-DE"/>
        </w:rPr>
        <w:t xml:space="preserve">“ </w:t>
      </w:r>
      <w:r>
        <w:rPr>
          <w:b w:val="1"/>
          <w:bCs w:val="1"/>
          <w:spacing w:val="0"/>
          <w:rtl w:val="0"/>
          <w:lang w:val="de-DE"/>
        </w:rPr>
        <w:t>genannt -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rPr>
          <w:b w:val="1"/>
          <w:bCs w:val="1"/>
          <w:spacing w:val="0"/>
          <w:lang w:val="de-DE"/>
        </w:rPr>
      </w:pP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rPr>
          <w:b w:val="1"/>
          <w:bCs w:val="1"/>
          <w:spacing w:val="0"/>
          <w:lang w:val="de-DE"/>
        </w:rPr>
      </w:pPr>
      <w:r>
        <w:rPr>
          <w:b w:val="1"/>
          <w:bCs w:val="1"/>
          <w:spacing w:val="0"/>
          <w:rtl w:val="0"/>
          <w:lang w:val="de-DE"/>
        </w:rPr>
        <w:t>und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rPr>
          <w:b w:val="1"/>
          <w:bCs w:val="1"/>
          <w:spacing w:val="0"/>
          <w:lang w:val="de-DE"/>
        </w:rPr>
      </w:pP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rPr>
          <w:u w:val="single"/>
        </w:rPr>
      </w:pPr>
      <w:r>
        <w:rPr>
          <w:spacing w:val="0"/>
          <w:rtl w:val="0"/>
          <w:lang w:val="en-US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jc w:val="right"/>
        <w:rPr>
          <w:b w:val="1"/>
          <w:bCs w:val="1"/>
          <w:spacing w:val="0"/>
          <w:lang w:val="de-DE"/>
        </w:rPr>
      </w:pPr>
      <w:r>
        <w:rPr>
          <w:b w:val="1"/>
          <w:bCs w:val="1"/>
          <w:spacing w:val="0"/>
          <w:rtl w:val="0"/>
          <w:lang w:val="de-DE"/>
        </w:rPr>
        <w:t xml:space="preserve">- nachfolgend </w:t>
      </w:r>
      <w:r>
        <w:rPr>
          <w:b w:val="1"/>
          <w:bCs w:val="1"/>
          <w:spacing w:val="0"/>
          <w:rtl w:val="0"/>
          <w:lang w:val="de-DE"/>
        </w:rPr>
        <w:t>„</w:t>
      </w:r>
      <w:r>
        <w:rPr>
          <w:b w:val="1"/>
          <w:bCs w:val="1"/>
          <w:spacing w:val="0"/>
          <w:rtl w:val="0"/>
          <w:lang w:val="de-DE"/>
        </w:rPr>
        <w:t>Auftragnehmer</w:t>
      </w:r>
      <w:r>
        <w:rPr>
          <w:b w:val="1"/>
          <w:bCs w:val="1"/>
          <w:spacing w:val="0"/>
          <w:rtl w:val="0"/>
          <w:lang w:val="de-DE"/>
        </w:rPr>
        <w:t xml:space="preserve">“ </w:t>
      </w:r>
      <w:r>
        <w:rPr>
          <w:b w:val="1"/>
          <w:bCs w:val="1"/>
          <w:spacing w:val="0"/>
          <w:rtl w:val="0"/>
          <w:lang w:val="de-DE"/>
        </w:rPr>
        <w:t>genannt -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jc w:val="both"/>
        <w:rPr>
          <w:u w:val="single"/>
          <w:lang w:val="de-DE"/>
        </w:rPr>
      </w:pP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haben am </w:t>
      </w:r>
      <w:r>
        <w:rPr>
          <w:b w:val="1"/>
          <w:bCs w:val="1"/>
          <w:rtl w:val="0"/>
          <w:lang w:val="de-DE"/>
        </w:rPr>
        <w:t>     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 xml:space="preserve">einen </w:t>
      </w:r>
      <w:r>
        <w:rPr>
          <w:b w:val="1"/>
          <w:bCs w:val="1"/>
          <w:rtl w:val="0"/>
          <w:lang w:val="de-DE"/>
        </w:rPr>
        <w:t>     </w:t>
      </w:r>
      <w:r>
        <w:rPr>
          <w:rtl w:val="0"/>
          <w:lang w:val="de-DE"/>
        </w:rPr>
        <w:t>-</w:t>
      </w:r>
      <w:r>
        <w:rPr>
          <w:b w:val="1"/>
          <w:bCs w:val="1"/>
          <w:rtl w:val="0"/>
          <w:lang w:val="de-DE"/>
        </w:rPr>
        <w:t>Vertrag geschlossen, gem</w:t>
      </w:r>
      <w:r>
        <w:rPr>
          <w:b w:val="1"/>
          <w:bCs w:val="1"/>
          <w:rtl w:val="0"/>
          <w:lang w:val="de-DE"/>
        </w:rPr>
        <w:t xml:space="preserve">äß </w:t>
      </w:r>
      <w:r>
        <w:rPr>
          <w:b w:val="1"/>
          <w:bCs w:val="1"/>
          <w:rtl w:val="0"/>
          <w:lang w:val="de-DE"/>
        </w:rPr>
        <w:t xml:space="preserve">dem der Auftragnehmer zu </w:t>
      </w:r>
      <w:r>
        <w:rPr>
          <w:b w:val="1"/>
          <w:bCs w:val="1"/>
          <w:rtl w:val="0"/>
          <w:lang w:val="de-DE"/>
        </w:rPr>
        <w:t>     </w:t>
      </w:r>
      <w:r>
        <w:rPr>
          <w:rtl w:val="0"/>
          <w:lang w:val="de-DE"/>
        </w:rPr>
        <w:t xml:space="preserve">  </w:t>
      </w:r>
      <w:r>
        <w:rPr>
          <w:b w:val="1"/>
          <w:bCs w:val="1"/>
          <w:rtl w:val="0"/>
          <w:lang w:val="de-DE"/>
        </w:rPr>
        <w:t xml:space="preserve">verpflichtet ist. 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rPr>
          <w:u w:val="single"/>
          <w:lang w:val="de-DE"/>
        </w:rPr>
      </w:pP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u w:val="single"/>
          <w:lang w:val="de-DE"/>
        </w:rPr>
      </w:pPr>
      <w:r>
        <w:rPr>
          <w:b w:val="1"/>
          <w:bCs w:val="1"/>
          <w:rtl w:val="0"/>
          <w:lang w:val="de-DE"/>
        </w:rPr>
        <w:t xml:space="preserve">Bezeichnung des Vertrages:   </w:t>
        <w:tab/>
      </w:r>
      <w:r>
        <w:rPr>
          <w:b w:val="1"/>
          <w:bCs w:val="1"/>
          <w:rtl w:val="0"/>
          <w:lang w:val="de-DE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before="144" w:line="300" w:lineRule="exact"/>
        <w:ind w:left="4536" w:hanging="4536"/>
        <w:rPr>
          <w:lang w:val="de-DE"/>
        </w:rPr>
      </w:pPr>
      <w:r>
        <w:rPr>
          <w:b w:val="1"/>
          <w:bCs w:val="1"/>
          <w:rtl w:val="0"/>
          <w:lang w:val="de-DE"/>
        </w:rPr>
        <w:t>Bestellnummer:</w:t>
      </w:r>
      <w:r>
        <w:rPr>
          <w:b w:val="1"/>
          <w:bCs w:val="1"/>
          <w:outline w:val="0"/>
          <w:color w:val="ffffff"/>
          <w:u w:color="ffffff"/>
          <w:rtl w:val="0"/>
          <w:lang w:val="de-DE"/>
          <w14:textFill>
            <w14:solidFill>
              <w14:srgbClr w14:val="FFFFFF"/>
            </w14:solidFill>
          </w14:textFill>
        </w:rPr>
        <w:tab/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Nach den Bestimmungen des Vertrages ist der Auftragnehmer zur Beibringung einer Anzahlungsb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 verpflichtet.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 xml:space="preserve">Dies vorausgeschickt,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bernehmen wir, </w:t>
      </w:r>
    </w:p>
    <w:p>
      <w:pPr>
        <w:pStyle w:val="Standard"/>
        <w:shd w:val="clear" w:color="auto" w:fill="ffffff"/>
        <w:tabs>
          <w:tab w:val="left" w:pos="4395"/>
          <w:tab w:val="left" w:pos="7099" w:leader="underscore"/>
        </w:tabs>
        <w:spacing w:before="298" w:line="300" w:lineRule="exact"/>
        <w:rPr>
          <w:lang w:val="de-DE"/>
        </w:rPr>
      </w:pPr>
      <w:r>
        <w:rPr>
          <w:rtl w:val="0"/>
          <w:lang w:val="de-DE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ind w:left="360" w:firstLine="0"/>
        <w:jc w:val="right"/>
        <w:rPr>
          <w:b w:val="1"/>
          <w:bCs w:val="1"/>
          <w:spacing w:val="0"/>
          <w:lang w:val="de-DE"/>
        </w:rPr>
      </w:pPr>
      <w:r>
        <w:rPr>
          <w:b w:val="1"/>
          <w:bCs w:val="1"/>
          <w:spacing w:val="0"/>
          <w:rtl w:val="0"/>
          <w:lang w:val="de-DE"/>
        </w:rPr>
        <w:t xml:space="preserve"> - nachfolgend </w:t>
      </w:r>
      <w:r>
        <w:rPr>
          <w:b w:val="1"/>
          <w:bCs w:val="1"/>
          <w:spacing w:val="0"/>
          <w:rtl w:val="0"/>
          <w:lang w:val="de-DE"/>
        </w:rPr>
        <w:t>„</w:t>
      </w:r>
      <w:r>
        <w:rPr>
          <w:b w:val="1"/>
          <w:bCs w:val="1"/>
          <w:spacing w:val="0"/>
          <w:rtl w:val="0"/>
          <w:lang w:val="de-DE"/>
        </w:rPr>
        <w:t>B</w:t>
      </w:r>
      <w:r>
        <w:rPr>
          <w:b w:val="1"/>
          <w:bCs w:val="1"/>
          <w:spacing w:val="0"/>
          <w:rtl w:val="0"/>
          <w:lang w:val="de-DE"/>
        </w:rPr>
        <w:t>ü</w:t>
      </w:r>
      <w:r>
        <w:rPr>
          <w:b w:val="1"/>
          <w:bCs w:val="1"/>
          <w:spacing w:val="0"/>
          <w:rtl w:val="0"/>
          <w:lang w:val="de-DE"/>
        </w:rPr>
        <w:t>rge</w:t>
      </w:r>
      <w:r>
        <w:rPr>
          <w:b w:val="1"/>
          <w:bCs w:val="1"/>
          <w:spacing w:val="0"/>
          <w:rtl w:val="0"/>
          <w:lang w:val="de-DE"/>
        </w:rPr>
        <w:t xml:space="preserve">“ </w:t>
      </w:r>
      <w:r>
        <w:rPr>
          <w:b w:val="1"/>
          <w:bCs w:val="1"/>
          <w:spacing w:val="0"/>
          <w:rtl w:val="0"/>
          <w:lang w:val="de-DE"/>
        </w:rPr>
        <w:t>genannt -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Auftragnehmer unwiderruflich und unbedingt die selbstschuldnerische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gem</w:t>
      </w:r>
      <w:r>
        <w:rPr>
          <w:rtl w:val="0"/>
          <w:lang w:val="de-DE"/>
        </w:rPr>
        <w:t xml:space="preserve">äß §§ </w:t>
      </w:r>
      <w:r>
        <w:rPr>
          <w:rtl w:val="0"/>
          <w:lang w:val="de-DE"/>
        </w:rPr>
        <w:t>765ff. BGB und verpflichten uns, jeden Betrag bis zur Gesamth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he von 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u w:val="single"/>
          <w:lang w:val="de-DE"/>
        </w:rPr>
      </w:pPr>
      <w:r>
        <w:rPr>
          <w:b w:val="1"/>
          <w:bCs w:val="1"/>
          <w:rtl w:val="0"/>
          <w:lang w:val="de-DE"/>
        </w:rPr>
        <w:t>EUR:</w:t>
        <w:tab/>
        <w:tab/>
      </w:r>
      <w:r>
        <w:rPr>
          <w:b w:val="1"/>
          <w:bCs w:val="1"/>
          <w:rtl w:val="0"/>
          <w:lang w:val="de-DE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u w:val="single"/>
          <w:lang w:val="de-DE"/>
        </w:rPr>
      </w:pPr>
      <w:r>
        <w:rPr>
          <w:b w:val="1"/>
          <w:bCs w:val="1"/>
          <w:rtl w:val="0"/>
          <w:lang w:val="de-DE"/>
        </w:rPr>
        <w:t>zzgl. 19% gesetzlicher Umsatzsteuer EUR:</w:t>
        <w:tab/>
      </w:r>
      <w:r>
        <w:rPr>
          <w:b w:val="1"/>
          <w:bCs w:val="1"/>
          <w:rtl w:val="0"/>
          <w:lang w:val="de-DE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u w:val="single"/>
          <w:lang w:val="de-DE"/>
        </w:rPr>
      </w:pPr>
      <w:r>
        <w:rPr>
          <w:b w:val="1"/>
          <w:bCs w:val="1"/>
          <w:rtl w:val="0"/>
          <w:lang w:val="de-DE"/>
        </w:rPr>
        <w:t>Gesamtbetrag EUR:</w:t>
        <w:tab/>
        <w:tab/>
      </w:r>
      <w:r>
        <w:rPr>
          <w:b w:val="1"/>
          <w:bCs w:val="1"/>
          <w:rtl w:val="0"/>
          <w:lang w:val="de-DE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b w:val="1"/>
          <w:bCs w:val="1"/>
          <w:lang w:val="de-DE"/>
        </w:rPr>
      </w:pP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lang w:val="de-DE"/>
        </w:rPr>
      </w:pPr>
      <w:r>
        <w:rPr>
          <w:b w:val="1"/>
          <w:bCs w:val="1"/>
          <w:rtl w:val="0"/>
          <w:lang w:val="de-DE"/>
        </w:rPr>
        <w:t xml:space="preserve">(in Worten EUR </w:t>
      </w:r>
      <w:r>
        <w:rPr>
          <w:b w:val="1"/>
          <w:bCs w:val="1"/>
          <w:rtl w:val="0"/>
          <w:lang w:val="de-DE"/>
        </w:rPr>
        <w:t>     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)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an den Auftraggeber zu zahlen. Wir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nnen nur auf Zahlung von Geld in Anspruch genommen werden. 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Die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sichert alle gegenw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rtigen und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nftigen, vertraglichen und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ervertraglichen, unbedingten und bedingten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ckzahlungsanspr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che hinsichtlich solcher Zahlungen, die der Auftraggeber angezahlt hat. 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 xml:space="preserve">Wir verzichten auf die Einreden aus </w:t>
      </w:r>
      <w:r>
        <w:rPr>
          <w:rtl w:val="0"/>
          <w:lang w:val="de-DE"/>
        </w:rPr>
        <w:t xml:space="preserve">§§ </w:t>
      </w:r>
      <w:r>
        <w:rPr>
          <w:rtl w:val="0"/>
          <w:lang w:val="de-DE"/>
        </w:rPr>
        <w:t>770 und 771 BGB, auf Einrede der Aufrechenbarkeit aber nur so weit, wie die Gegenforderung des Auftragnehmers nicht unbestritten oder nicht rechtskr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ftig festgestellt ist. 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Wir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uns aus dieser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nicht durch Hinterlegung befreien.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drawing xmlns:a="http://schemas.openxmlformats.org/drawingml/2006/main">
          <wp:inline distT="0" distB="0" distL="0" distR="0">
            <wp:extent cx="123825" cy="114300"/>
            <wp:effectExtent l="0" t="0" r="0" b="0"/>
            <wp:docPr id="107374182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23825" cy="114300"/>
                <wp:effectExtent l="0" t="0" r="0" b="0"/>
                <wp:docPr id="107374182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9.8pt;height:9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de-DE"/>
        </w:rPr>
        <w:t xml:space="preserve">  Die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ist unbefristet.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drawing xmlns:a="http://schemas.openxmlformats.org/drawingml/2006/main">
          <wp:inline distT="0" distB="0" distL="0" distR="0">
            <wp:extent cx="123825" cy="114300"/>
            <wp:effectExtent l="0" t="0" r="0" b="0"/>
            <wp:docPr id="107374182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23825" cy="114300"/>
                <wp:effectExtent l="0" t="0" r="0" b="0"/>
                <wp:docPr id="1073741829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9.8pt;height:9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de-DE"/>
        </w:rPr>
        <w:t xml:space="preserve">  Die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rgschaft erlischt, wenn wir nicht bis zum </w:t>
      </w:r>
      <w:r>
        <w:rPr>
          <w:rtl w:val="0"/>
          <w:lang w:val="de-DE"/>
        </w:rPr>
        <w:t xml:space="preserve">      </w:t>
      </w:r>
      <w:r>
        <w:rPr>
          <w:rtl w:val="0"/>
          <w:lang w:val="de-DE"/>
        </w:rPr>
        <w:t>in Anspruch genommen worden sind.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Unsere Verpflichtungen aus der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erl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schen mit der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ckgabe der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rgschaftsurkunde.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Sie erl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schen auch, wenn die geschuldete Leistung vom Auftraggeber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ngelfrei abgenommen wurde und dies durch ein Abnahmeprotokoll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tigt wurde.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Der Anspruch aus dieser Urkunde verj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hrt in keinem Fall 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her als die gesicherte Forderung, 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testens jedoch 30 Jahre nach dem gesetzlichen Verj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hrungsbeginn.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Gerichtsstand ist der Sitz des Auftraggebers.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Streitigkeiten aus und im Zusammenhang mit dieser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gilt deutsches Recht.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Die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ist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Auftraggeber kostenlos.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tabs>
          <w:tab w:val="left" w:pos="2794" w:leader="underscore"/>
          <w:tab w:val="left" w:pos="3960"/>
          <w:tab w:val="left" w:pos="7454" w:leader="underscore"/>
        </w:tabs>
        <w:spacing w:before="80" w:line="300" w:lineRule="exact"/>
        <w:rPr>
          <w:u w:val="single"/>
          <w:lang w:val="de-DE"/>
        </w:rPr>
      </w:pPr>
      <w:r>
        <w:rPr>
          <w:u w:val="single"/>
          <w:rtl w:val="0"/>
          <w:lang w:val="de-DE"/>
        </w:rPr>
        <w:t xml:space="preserve">                           </w:t>
      </w:r>
      <w:r>
        <w:rPr>
          <w:rtl w:val="0"/>
          <w:lang w:val="de-DE"/>
        </w:rPr>
        <w:t xml:space="preserve">            </w:t>
      </w:r>
      <w:r>
        <w:rPr>
          <w:u w:val="single"/>
          <w:rtl w:val="0"/>
          <w:lang w:val="de-DE"/>
        </w:rPr>
        <w:t xml:space="preserve">                                     </w:t>
      </w:r>
    </w:p>
    <w:p>
      <w:pPr>
        <w:pStyle w:val="Standard"/>
        <w:shd w:val="clear" w:color="auto" w:fill="ffffff"/>
        <w:tabs>
          <w:tab w:val="left" w:pos="3960"/>
        </w:tabs>
        <w:spacing w:before="5"/>
      </w:pPr>
      <w:r>
        <w:rPr>
          <w:rtl w:val="0"/>
          <w:lang w:val="de-DE"/>
        </w:rPr>
        <w:t>Ort, Datum</w:t>
        <w:tab/>
        <w:t>Stempel und Unterschrift des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rgen</w:t>
      </w:r>
    </w:p>
    <w:sectPr>
      <w:headerReference w:type="default" r:id="rId5"/>
      <w:footerReference w:type="default" r:id="rId6"/>
      <w:pgSz w:w="11900" w:h="16840" w:orient="portrait"/>
      <w:pgMar w:top="1440" w:right="1411" w:bottom="360" w:left="142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jc w:val="right"/>
    </w:pPr>
    <w:r>
      <w:rPr>
        <w:rtl w:val="0"/>
        <w:lang w:val="en-US"/>
      </w:rPr>
      <w:t xml:space="preserve"> Seite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837564</wp:posOffset>
          </wp:positionH>
          <wp:positionV relativeFrom="page">
            <wp:posOffset>497840</wp:posOffset>
          </wp:positionV>
          <wp:extent cx="2071371" cy="438150"/>
          <wp:effectExtent l="0" t="0" r="0" b="0"/>
          <wp:wrapNone/>
          <wp:docPr id="1073741825" name="officeArt object" descr="TenneT_Standard logo_RGB_6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nneT_Standard logo_RGB_6cm.jpg" descr="TenneT_Standard logo_RGB_6c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1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